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E4A" w:rsidRDefault="002B58AE">
      <w:pPr>
        <w:rPr>
          <w:rFonts w:ascii="digital1" w:hAnsi="digital1"/>
        </w:rPr>
      </w:pPr>
      <w:r>
        <w:rPr>
          <w:rFonts w:ascii="digital1" w:hAnsi="digital1"/>
        </w:rPr>
        <w:t>KWALIFIKOWALNOŚĆ:</w:t>
      </w:r>
    </w:p>
    <w:p w:rsidR="00762B6F" w:rsidRPr="00762B6F" w:rsidRDefault="00762B6F" w:rsidP="00762B6F">
      <w:pPr>
        <w:jc w:val="both"/>
        <w:rPr>
          <w:rFonts w:ascii="digital1" w:hAnsi="digital1"/>
        </w:rPr>
      </w:pPr>
      <w:r w:rsidRPr="00762B6F">
        <w:rPr>
          <w:rFonts w:ascii="digital1" w:hAnsi="digital1"/>
          <w:highlight w:val="yellow"/>
        </w:rPr>
        <w:t>Pytanie 1</w:t>
      </w:r>
      <w:r w:rsidRPr="00762B6F">
        <w:rPr>
          <w:rFonts w:ascii="digital1" w:hAnsi="digital1"/>
          <w:highlight w:val="yellow"/>
        </w:rPr>
        <w:t>.</w:t>
      </w:r>
      <w:r w:rsidRPr="00762B6F">
        <w:rPr>
          <w:rFonts w:ascii="digital1" w:hAnsi="digital1"/>
        </w:rPr>
        <w:t xml:space="preserve"> Kwalifikowalność VAT w </w:t>
      </w:r>
      <w:proofErr w:type="spellStart"/>
      <w:r w:rsidRPr="00762B6F">
        <w:rPr>
          <w:rFonts w:ascii="digital1" w:hAnsi="digital1"/>
        </w:rPr>
        <w:t>JSFP</w:t>
      </w:r>
      <w:proofErr w:type="spellEnd"/>
      <w:r w:rsidRPr="00762B6F">
        <w:rPr>
          <w:rFonts w:ascii="digital1" w:hAnsi="digital1"/>
        </w:rPr>
        <w:t xml:space="preserve"> – niby VAT może być kwalifikowalny, ale jeśli nie można go odzyskać w świetle przepisów krajowych. I teraz zaczyna się zabawa – w świetle wyroku </w:t>
      </w:r>
      <w:proofErr w:type="spellStart"/>
      <w:r w:rsidRPr="00762B6F">
        <w:rPr>
          <w:rFonts w:ascii="digital1" w:hAnsi="digital1"/>
        </w:rPr>
        <w:t>TSUE</w:t>
      </w:r>
      <w:proofErr w:type="spellEnd"/>
      <w:r w:rsidRPr="00762B6F">
        <w:rPr>
          <w:rFonts w:ascii="digital1" w:hAnsi="digital1"/>
        </w:rPr>
        <w:t xml:space="preserve"> c-276/14 – uważa się gminę oraz jej jednostki za jednego podatnika VAT – czy zatem jeśli gmina jest wnioskodawcą (np. remontu obiektu) a potem oddaje go w zarządzanie </w:t>
      </w:r>
      <w:proofErr w:type="spellStart"/>
      <w:r w:rsidRPr="00762B6F">
        <w:rPr>
          <w:rFonts w:ascii="digital1" w:hAnsi="digital1"/>
        </w:rPr>
        <w:t>GOKowi</w:t>
      </w:r>
      <w:proofErr w:type="spellEnd"/>
      <w:r w:rsidRPr="00762B6F">
        <w:rPr>
          <w:rFonts w:ascii="digital1" w:hAnsi="digital1"/>
        </w:rPr>
        <w:t xml:space="preserve">, i jeśli </w:t>
      </w:r>
      <w:proofErr w:type="spellStart"/>
      <w:r w:rsidRPr="00762B6F">
        <w:rPr>
          <w:rFonts w:ascii="digital1" w:hAnsi="digital1"/>
        </w:rPr>
        <w:t>GOK</w:t>
      </w:r>
      <w:proofErr w:type="spellEnd"/>
      <w:r w:rsidRPr="00762B6F">
        <w:rPr>
          <w:rFonts w:ascii="digital1" w:hAnsi="digital1"/>
        </w:rPr>
        <w:t xml:space="preserve"> pobiera opłaty z tytułu wynajmu tego obiektu – to czy wówczas VAT może być kwalifikowalny?</w:t>
      </w:r>
    </w:p>
    <w:p w:rsidR="002B58AE" w:rsidRDefault="00762B6F" w:rsidP="00762B6F">
      <w:pPr>
        <w:jc w:val="both"/>
        <w:rPr>
          <w:rFonts w:ascii="digital1" w:hAnsi="digital1"/>
        </w:rPr>
      </w:pPr>
      <w:r w:rsidRPr="00762B6F">
        <w:rPr>
          <w:rFonts w:ascii="digital1" w:hAnsi="digital1"/>
          <w:highlight w:val="yellow"/>
        </w:rPr>
        <w:t>Odpowiedź 2</w:t>
      </w:r>
      <w:r w:rsidRPr="00762B6F">
        <w:rPr>
          <w:rFonts w:ascii="digital1" w:hAnsi="digital1"/>
          <w:highlight w:val="yellow"/>
        </w:rPr>
        <w:t>.</w:t>
      </w:r>
      <w:r w:rsidRPr="00762B6F">
        <w:rPr>
          <w:rFonts w:ascii="digital1" w:hAnsi="digital1"/>
        </w:rPr>
        <w:t xml:space="preserve"> VAT może być kosztem kwalifikowalnym tylko wtedy, gdy nie podlega on zwrotowi, tzn. nie jest możliwe (chodzi o samą możliwość prawną) jego odzyskanie przez beneficjenta. Ocena czy beneficjentowi przysługuje prawo do odliczenia podatku naliczonego każdorazowo wymaga szczegółowej analizy konkretnego stanu faktycznego. Opiera się przede wszystkim na „statusie” beneficjenta oraz deklarowanym wykorzystaniu towarów i usług do czynności opodatkowanych bądź nieopodatkowanych VAT, zakupionych w związku z realizacją projektu inwestycyjnego. Jeśli przekazanie w odpłatne użytkowanie wiązać się będzie z czynnościami opodatkowanymi podatkiem VAT, nie będzie on stanowić kosztu kwalifikowalnego. Wskazać należy, że w przypadku zaliczenia przez beneficjenta podatku VAT do kosztów kwalifikowalnych, na etapie wniosku o płatność konieczne będzie dostarczenie indywidualnej interpretacji Izby Skarbowej.</w:t>
      </w:r>
    </w:p>
    <w:p w:rsidR="004A4251" w:rsidRPr="004A4251" w:rsidRDefault="004A4251" w:rsidP="004A4251">
      <w:pPr>
        <w:jc w:val="both"/>
        <w:rPr>
          <w:rFonts w:ascii="digital1" w:hAnsi="digital1"/>
        </w:rPr>
      </w:pPr>
      <w:r w:rsidRPr="004A4251">
        <w:rPr>
          <w:rFonts w:ascii="digital1" w:hAnsi="digital1"/>
          <w:highlight w:val="yellow"/>
        </w:rPr>
        <w:t>Pytanie 2</w:t>
      </w:r>
      <w:r w:rsidRPr="004A4251">
        <w:rPr>
          <w:rFonts w:ascii="digital1" w:hAnsi="digital1"/>
          <w:highlight w:val="yellow"/>
        </w:rPr>
        <w:t>.</w:t>
      </w:r>
      <w:r w:rsidRPr="004A4251">
        <w:rPr>
          <w:rFonts w:ascii="digital1" w:hAnsi="digital1"/>
        </w:rPr>
        <w:t xml:space="preserve"> Budynki, o jakiej funkcji kwalifikują się do dofinansowania? Czy dopuszczalna jest realizacja operacji dotycząca budynków mieszkalnych np. przebudowy/wyposażenia budynku na potrzeby apartamentów na wynajem – w budynku o funkcji tylko mieszkalnej? </w:t>
      </w:r>
    </w:p>
    <w:p w:rsidR="004A4251" w:rsidRDefault="004A4251" w:rsidP="004A4251">
      <w:pPr>
        <w:jc w:val="both"/>
        <w:rPr>
          <w:rFonts w:ascii="digital1" w:hAnsi="digital1"/>
        </w:rPr>
      </w:pPr>
      <w:r w:rsidRPr="004A4251">
        <w:rPr>
          <w:rFonts w:ascii="digital1" w:hAnsi="digital1"/>
          <w:highlight w:val="yellow"/>
        </w:rPr>
        <w:t>Odpowiedź 2</w:t>
      </w:r>
      <w:r w:rsidRPr="004A4251">
        <w:rPr>
          <w:rFonts w:ascii="digital1" w:hAnsi="digital1"/>
          <w:highlight w:val="yellow"/>
        </w:rPr>
        <w:t>.</w:t>
      </w:r>
      <w:r w:rsidRPr="004A4251">
        <w:rPr>
          <w:rFonts w:ascii="digital1" w:hAnsi="digital1"/>
        </w:rPr>
        <w:t xml:space="preserve"> Nie ma ograniczeń co do samej funkcji budynku. Odrębna kwestią konieczność uzyskania w konkretnej sytuacji (np.) zmiany przeznaczenia obiektu, odbiorów, zezwoleń itp. Należy również pamiętać, że kosztami kwalifikowalnymi są wyłącznie koszty związane z częścią obiektu przeznaczoną na działalność.  </w:t>
      </w:r>
    </w:p>
    <w:p w:rsidR="009E4790" w:rsidRPr="009E4790" w:rsidRDefault="009E4790" w:rsidP="009E4790">
      <w:pPr>
        <w:jc w:val="both"/>
        <w:rPr>
          <w:rFonts w:ascii="digital1" w:hAnsi="digital1"/>
        </w:rPr>
      </w:pPr>
      <w:r w:rsidRPr="009E4790">
        <w:rPr>
          <w:rFonts w:ascii="digital1" w:hAnsi="digital1"/>
          <w:highlight w:val="yellow"/>
        </w:rPr>
        <w:t>Pytanie 3</w:t>
      </w:r>
      <w:r w:rsidRPr="009E4790">
        <w:rPr>
          <w:rFonts w:ascii="digital1" w:hAnsi="digital1"/>
          <w:highlight w:val="yellow"/>
        </w:rPr>
        <w:t>.</w:t>
      </w:r>
      <w:r w:rsidRPr="009E4790">
        <w:rPr>
          <w:rFonts w:ascii="digital1" w:hAnsi="digital1"/>
        </w:rPr>
        <w:t xml:space="preserve"> § 17, ust. 1, pkt. 5) zakupu nowych maszyn lub wyposażenia, a w przypadku operacji w zakresie określonym w § 2 ust. 1 pkt 5 – również używanych maszyn lub wyposażenia, stanowiących eksponaty. Na jakiej podstawie należy stwierdzić czy dana rzecz używana może być zakupiona jako eksponat?</w:t>
      </w:r>
    </w:p>
    <w:p w:rsidR="00A15BEE" w:rsidRDefault="009E4790" w:rsidP="009E4790">
      <w:pPr>
        <w:jc w:val="both"/>
        <w:rPr>
          <w:rFonts w:ascii="digital1" w:hAnsi="digital1"/>
        </w:rPr>
      </w:pPr>
      <w:r w:rsidRPr="009E4790">
        <w:rPr>
          <w:rFonts w:ascii="digital1" w:hAnsi="digital1"/>
          <w:highlight w:val="yellow"/>
        </w:rPr>
        <w:t>Odpowiedź 3</w:t>
      </w:r>
      <w:r w:rsidRPr="009E4790">
        <w:rPr>
          <w:rFonts w:ascii="digital1" w:hAnsi="digital1"/>
        </w:rPr>
        <w:t xml:space="preserve">. Zgodnie z instrukcją wypełniania wniosku o przyznanie pomocy, „w przypadku operacji dotyczących zachowania dziedzictwa lokalnego dopuszczalny jest zakup używanego sprzętu o charakterze zabytkowym albo historycznym, jeżeli cel i charakter operacji tego wymaga (przykład: wyposażenie muzeum, regionalne przedmioty, stroje). Beneficjent załącza Wycenę wraz z opinią biegłego rzeczoznawcy posiadającego uprawnienia do dokonywania wyceny (np. nadane przez NOT, </w:t>
      </w:r>
      <w:proofErr w:type="spellStart"/>
      <w:r w:rsidRPr="009E4790">
        <w:rPr>
          <w:rFonts w:ascii="digital1" w:hAnsi="digital1"/>
        </w:rPr>
        <w:t>SITR</w:t>
      </w:r>
      <w:proofErr w:type="spellEnd"/>
      <w:r w:rsidRPr="009E4790">
        <w:rPr>
          <w:rFonts w:ascii="digital1" w:hAnsi="digital1"/>
        </w:rPr>
        <w:t xml:space="preserve">, </w:t>
      </w:r>
      <w:proofErr w:type="spellStart"/>
      <w:r w:rsidRPr="009E4790">
        <w:rPr>
          <w:rFonts w:ascii="digital1" w:hAnsi="digital1"/>
        </w:rPr>
        <w:t>SIMP</w:t>
      </w:r>
      <w:proofErr w:type="spellEnd"/>
      <w:r w:rsidRPr="009E4790">
        <w:rPr>
          <w:rFonts w:ascii="digital1" w:hAnsi="digital1"/>
        </w:rPr>
        <w:t xml:space="preserve"> itd.)”.</w:t>
      </w:r>
    </w:p>
    <w:p w:rsidR="004D4873" w:rsidRPr="004D4873" w:rsidRDefault="004D4873" w:rsidP="004D4873">
      <w:pPr>
        <w:jc w:val="both"/>
        <w:rPr>
          <w:rFonts w:ascii="digital1" w:hAnsi="digital1"/>
        </w:rPr>
      </w:pPr>
      <w:r w:rsidRPr="004D4873">
        <w:rPr>
          <w:rFonts w:ascii="digital1" w:hAnsi="digital1"/>
          <w:highlight w:val="yellow"/>
        </w:rPr>
        <w:t>Pytanie 4</w:t>
      </w:r>
      <w:r w:rsidRPr="004D4873">
        <w:rPr>
          <w:rFonts w:ascii="digital1" w:hAnsi="digital1"/>
          <w:highlight w:val="yellow"/>
        </w:rPr>
        <w:t>.</w:t>
      </w:r>
      <w:r w:rsidRPr="004D4873">
        <w:rPr>
          <w:rFonts w:ascii="digital1" w:hAnsi="digital1"/>
        </w:rPr>
        <w:t xml:space="preserve"> Czy jako wkład własny niepieniężnych w postaci gruntu/nieruchomości możliwe jest wniesienie gruntu/nieruchomości którego Wnioskodawca nie jest właścicielem ale ma do niej prawo na zasadzie użytkowania wieczystego?</w:t>
      </w:r>
    </w:p>
    <w:p w:rsidR="004D4873" w:rsidRPr="002B58AE" w:rsidRDefault="004D4873" w:rsidP="004D4873">
      <w:pPr>
        <w:jc w:val="both"/>
        <w:rPr>
          <w:rFonts w:ascii="digital1" w:hAnsi="digital1"/>
        </w:rPr>
      </w:pPr>
      <w:r w:rsidRPr="004D4873">
        <w:rPr>
          <w:rFonts w:ascii="digital1" w:hAnsi="digital1"/>
          <w:highlight w:val="yellow"/>
        </w:rPr>
        <w:t>Odpowiedź 4</w:t>
      </w:r>
      <w:r w:rsidRPr="004D4873">
        <w:rPr>
          <w:rFonts w:ascii="digital1" w:hAnsi="digital1"/>
          <w:highlight w:val="yellow"/>
        </w:rPr>
        <w:t>.</w:t>
      </w:r>
      <w:bookmarkStart w:id="0" w:name="_GoBack"/>
      <w:bookmarkEnd w:id="0"/>
      <w:r w:rsidRPr="004D4873">
        <w:rPr>
          <w:rFonts w:ascii="digital1" w:hAnsi="digital1"/>
        </w:rPr>
        <w:t xml:space="preserve"> Zapytanie zostanie skierowane do ARiMR.</w:t>
      </w:r>
    </w:p>
    <w:sectPr w:rsidR="004D4873" w:rsidRPr="002B58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digital1">
    <w:panose1 w:val="020B0503030403020204"/>
    <w:charset w:val="EE"/>
    <w:family w:val="swiss"/>
    <w:pitch w:val="variable"/>
    <w:sig w:usb0="A00002AF" w:usb1="500020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8AE"/>
    <w:rsid w:val="002B58AE"/>
    <w:rsid w:val="00360E4A"/>
    <w:rsid w:val="004A4251"/>
    <w:rsid w:val="004D4873"/>
    <w:rsid w:val="00617A78"/>
    <w:rsid w:val="00762B6F"/>
    <w:rsid w:val="009E4790"/>
    <w:rsid w:val="00A15B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432</Words>
  <Characters>2595</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uplgr03</dc:creator>
  <cp:lastModifiedBy>uplgr03</cp:lastModifiedBy>
  <cp:revision>5</cp:revision>
  <dcterms:created xsi:type="dcterms:W3CDTF">2016-11-09T11:28:00Z</dcterms:created>
  <dcterms:modified xsi:type="dcterms:W3CDTF">2016-11-09T11:54:00Z</dcterms:modified>
</cp:coreProperties>
</file>