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C" w:rsidRDefault="007466DC">
      <w:pPr>
        <w:rPr>
          <w:rFonts w:ascii="digital1" w:hAnsi="digital1"/>
        </w:rPr>
      </w:pPr>
      <w:r>
        <w:rPr>
          <w:rFonts w:ascii="digital1" w:hAnsi="digital1"/>
        </w:rPr>
        <w:t>INNE:</w:t>
      </w:r>
    </w:p>
    <w:p w:rsidR="007466DC" w:rsidRDefault="007466DC">
      <w:pPr>
        <w:rPr>
          <w:rFonts w:ascii="digital1" w:hAnsi="digital1"/>
        </w:rPr>
      </w:pPr>
    </w:p>
    <w:p w:rsidR="007A3C6D" w:rsidRPr="007A3C6D" w:rsidRDefault="007A3C6D" w:rsidP="007A3C6D">
      <w:pPr>
        <w:spacing w:afterLines="160" w:after="384" w:line="259" w:lineRule="auto"/>
        <w:jc w:val="both"/>
        <w:rPr>
          <w:rFonts w:ascii="digital1" w:eastAsia="Calibri" w:hAnsi="digital1" w:cs="Times New Roman"/>
        </w:rPr>
      </w:pPr>
      <w:r w:rsidRPr="007A3C6D">
        <w:rPr>
          <w:rFonts w:ascii="digital1" w:eastAsia="Calibri" w:hAnsi="digital1" w:cs="Times New Roman"/>
          <w:highlight w:val="yellow"/>
        </w:rPr>
        <w:t>Pytanie 1:</w:t>
      </w:r>
      <w:r w:rsidRPr="007A3C6D">
        <w:rPr>
          <w:rFonts w:ascii="digital1" w:eastAsia="Calibri" w:hAnsi="digital1" w:cs="Times New Roman"/>
        </w:rPr>
        <w:t xml:space="preserve"> </w:t>
      </w:r>
      <w:r w:rsidRPr="007A3C6D">
        <w:rPr>
          <w:rFonts w:ascii="digital1" w:eastAsia="Calibri" w:hAnsi="digital1" w:cs="Times New Roman"/>
        </w:rPr>
        <w:t xml:space="preserve">Ocena zgodności z </w:t>
      </w:r>
      <w:proofErr w:type="spellStart"/>
      <w:r w:rsidRPr="007A3C6D">
        <w:rPr>
          <w:rFonts w:ascii="digital1" w:eastAsia="Calibri" w:hAnsi="digital1" w:cs="Times New Roman"/>
        </w:rPr>
        <w:t>PROW</w:t>
      </w:r>
      <w:proofErr w:type="spellEnd"/>
      <w:r w:rsidRPr="007A3C6D">
        <w:rPr>
          <w:rFonts w:ascii="digital1" w:eastAsia="Calibri" w:hAnsi="digital1" w:cs="Times New Roman"/>
        </w:rPr>
        <w:t xml:space="preserve"> – mamy wiele wątpliwości jak weryfikować poszczególne punkty z załącznika nr 2 do wytycznej – więc dobrze byłoby abyśmy mogli poznać jak w tej sprawie postąpiłby SW. </w:t>
      </w:r>
    </w:p>
    <w:p w:rsidR="007A3C6D" w:rsidRPr="007A3C6D" w:rsidRDefault="007A3C6D" w:rsidP="007A3C6D">
      <w:pPr>
        <w:spacing w:afterLines="160" w:after="384" w:line="259" w:lineRule="auto"/>
        <w:jc w:val="both"/>
        <w:rPr>
          <w:rFonts w:ascii="digital1" w:eastAsia="Calibri" w:hAnsi="digital1" w:cs="Times New Roman"/>
          <w:bCs/>
        </w:rPr>
      </w:pPr>
      <w:r w:rsidRPr="007A3C6D">
        <w:rPr>
          <w:rFonts w:ascii="digital1" w:eastAsia="Calibri" w:hAnsi="digital1" w:cs="Times New Roman"/>
          <w:bCs/>
          <w:highlight w:val="yellow"/>
        </w:rPr>
        <w:t>Odpowiedź 1</w:t>
      </w:r>
      <w:r w:rsidRPr="007A3C6D">
        <w:rPr>
          <w:rFonts w:ascii="digital1" w:eastAsia="Calibri" w:hAnsi="digital1" w:cs="Times New Roman"/>
          <w:bCs/>
          <w:highlight w:val="yellow"/>
        </w:rPr>
        <w:t>.</w:t>
      </w:r>
      <w:r w:rsidRPr="007A3C6D">
        <w:rPr>
          <w:rFonts w:ascii="digital1" w:eastAsia="Calibri" w:hAnsi="digital1" w:cs="Times New Roman"/>
          <w:b/>
          <w:bCs/>
          <w:highlight w:val="yellow"/>
          <w:u w:val="single"/>
        </w:rPr>
        <w:t xml:space="preserve"> </w:t>
      </w:r>
      <w:r w:rsidRPr="007A3C6D">
        <w:rPr>
          <w:rFonts w:ascii="digital1" w:eastAsia="Calibri" w:hAnsi="digital1" w:cs="Times New Roman"/>
          <w:bCs/>
        </w:rPr>
        <w:t>Rzetelna, pełna odpowiedź na tak zadane pytanie nie jest możliwa</w:t>
      </w:r>
      <w:r w:rsidRPr="007A3C6D">
        <w:rPr>
          <w:rFonts w:ascii="digital1" w:eastAsia="Calibri" w:hAnsi="digital1" w:cs="Times New Roman"/>
          <w:b/>
          <w:bCs/>
        </w:rPr>
        <w:t>.</w:t>
      </w:r>
      <w:r w:rsidRPr="007A3C6D">
        <w:rPr>
          <w:rFonts w:ascii="digital1" w:eastAsia="Calibri" w:hAnsi="digital1" w:cs="Times New Roman"/>
          <w:bCs/>
        </w:rPr>
        <w:t xml:space="preserve"> Samorząd województwa/ </w:t>
      </w:r>
      <w:proofErr w:type="spellStart"/>
      <w:r w:rsidRPr="007A3C6D">
        <w:rPr>
          <w:rFonts w:ascii="digital1" w:eastAsia="Calibri" w:hAnsi="digital1" w:cs="Times New Roman"/>
          <w:bCs/>
        </w:rPr>
        <w:t>LGD</w:t>
      </w:r>
      <w:proofErr w:type="spellEnd"/>
      <w:r w:rsidRPr="007A3C6D">
        <w:rPr>
          <w:rFonts w:ascii="digital1" w:eastAsia="Calibri" w:hAnsi="digital1" w:cs="Times New Roman"/>
          <w:bCs/>
        </w:rPr>
        <w:t xml:space="preserve"> winna odpowiadać na poszczególne pytanie w Karcie Weryfikacji na podstawie </w:t>
      </w:r>
      <w:r w:rsidRPr="007A3C6D">
        <w:rPr>
          <w:rFonts w:ascii="digital1" w:eastAsia="Calibri" w:hAnsi="digital1" w:cs="Times New Roman"/>
          <w:bCs/>
          <w:u w:val="single"/>
        </w:rPr>
        <w:t xml:space="preserve">całości zgromadzonej dokumentacji w sprawie </w:t>
      </w:r>
      <w:r w:rsidRPr="007A3C6D">
        <w:rPr>
          <w:rFonts w:ascii="digital1" w:eastAsia="Calibri" w:hAnsi="digital1" w:cs="Times New Roman"/>
          <w:bCs/>
        </w:rPr>
        <w:t xml:space="preserve">(w tym dostarczonej przez wnioskodawcę, ogólnodostępnych baz, systemów itp.) z zachowaniem obowiązujących przepisów oraz procedur własnych. </w:t>
      </w:r>
    </w:p>
    <w:p w:rsidR="00DA4E7B" w:rsidRPr="00DA4E7B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  <w:highlight w:val="yellow"/>
        </w:rPr>
        <w:t>Pytanie 2</w:t>
      </w:r>
      <w:r w:rsidRPr="00DA4E7B">
        <w:rPr>
          <w:rFonts w:ascii="digital1" w:hAnsi="digital1"/>
        </w:rPr>
        <w:t xml:space="preserve">. Jednym z wymagań, jakie musi spełnić Wnioskodawca jest wymóg wskazany w §4 ust. 1 pkt 7 Rozporządzenia „realizacja operacji nie jest możliwa bez udziału środków publicznych” – kwestia ta jest przedmiotem oceny zgodności z zasadami </w:t>
      </w:r>
      <w:proofErr w:type="spellStart"/>
      <w:r w:rsidRPr="00DA4E7B">
        <w:rPr>
          <w:rFonts w:ascii="digital1" w:hAnsi="digital1"/>
        </w:rPr>
        <w:t>PROW</w:t>
      </w:r>
      <w:proofErr w:type="spellEnd"/>
      <w:r w:rsidRPr="00DA4E7B">
        <w:rPr>
          <w:rFonts w:ascii="digital1" w:hAnsi="digital1"/>
        </w:rPr>
        <w:t xml:space="preserve">, którą prowadzi </w:t>
      </w:r>
      <w:proofErr w:type="spellStart"/>
      <w:r w:rsidRPr="00DA4E7B">
        <w:rPr>
          <w:rFonts w:ascii="digital1" w:hAnsi="digital1"/>
        </w:rPr>
        <w:t>LGD</w:t>
      </w:r>
      <w:proofErr w:type="spellEnd"/>
      <w:r w:rsidRPr="00DA4E7B">
        <w:rPr>
          <w:rFonts w:ascii="digital1" w:hAnsi="digital1"/>
        </w:rPr>
        <w:t xml:space="preserve"> – do kwestii tej ma się odnieść także Wnioskodawca w sekcji </w:t>
      </w:r>
      <w:proofErr w:type="spellStart"/>
      <w:r w:rsidRPr="00DA4E7B">
        <w:rPr>
          <w:rFonts w:ascii="digital1" w:hAnsi="digital1"/>
        </w:rPr>
        <w:t>B.III</w:t>
      </w:r>
      <w:proofErr w:type="spellEnd"/>
      <w:r w:rsidRPr="00DA4E7B">
        <w:rPr>
          <w:rFonts w:ascii="digital1" w:hAnsi="digital1"/>
        </w:rPr>
        <w:t xml:space="preserve"> pkt. 12 wniosku o dofinansowanie. Czy UM przewiduje zastosowania jakiegoś algorytmu (wzoru) na weryfikację spełnienia tego warunku przez Wnioskodawcę - tak jak np. miało to miejsce w naborze wniosków dla zakresu „Budowa lub modernizacja dróg lokalnych" </w:t>
      </w:r>
      <w:proofErr w:type="spellStart"/>
      <w:r w:rsidRPr="00DA4E7B">
        <w:rPr>
          <w:rFonts w:ascii="digital1" w:hAnsi="digital1"/>
        </w:rPr>
        <w:t>PROW</w:t>
      </w:r>
      <w:proofErr w:type="spellEnd"/>
      <w:r w:rsidRPr="00DA4E7B">
        <w:rPr>
          <w:rFonts w:ascii="digital1" w:hAnsi="digital1"/>
        </w:rPr>
        <w:t xml:space="preserve"> 2014-2020? Jeśli nie to jakie są wartości graniczne które powinien wskazać Wnioskodawca w w/w punkcie wniosku o dofinansowania, które pozwolą </w:t>
      </w:r>
      <w:proofErr w:type="spellStart"/>
      <w:r w:rsidRPr="00DA4E7B">
        <w:rPr>
          <w:rFonts w:ascii="digital1" w:hAnsi="digital1"/>
        </w:rPr>
        <w:t>LGD</w:t>
      </w:r>
      <w:proofErr w:type="spellEnd"/>
      <w:r w:rsidRPr="00DA4E7B">
        <w:rPr>
          <w:rFonts w:ascii="digital1" w:hAnsi="digital1"/>
        </w:rPr>
        <w:t xml:space="preserve"> zakwalifikować operację do operacji których realizacja nie byłaby możliwa bez udziału środków publicznych?</w:t>
      </w:r>
    </w:p>
    <w:p w:rsidR="00DA4E7B" w:rsidRPr="00DA4E7B" w:rsidRDefault="00DA4E7B" w:rsidP="00DA4E7B">
      <w:pPr>
        <w:rPr>
          <w:rFonts w:ascii="digital1" w:hAnsi="digital1"/>
        </w:rPr>
      </w:pPr>
    </w:p>
    <w:p w:rsidR="00DA4E7B" w:rsidRPr="00DA4E7B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  <w:highlight w:val="yellow"/>
        </w:rPr>
        <w:t>Odpowiedź 2</w:t>
      </w:r>
      <w:r w:rsidRPr="00DA4E7B">
        <w:rPr>
          <w:rFonts w:ascii="digital1" w:hAnsi="digital1"/>
          <w:highlight w:val="yellow"/>
        </w:rPr>
        <w:t>.</w:t>
      </w:r>
      <w:r w:rsidRPr="00DA4E7B">
        <w:rPr>
          <w:rFonts w:ascii="digital1" w:hAnsi="digital1"/>
        </w:rPr>
        <w:t xml:space="preserve"> Tak zgodnie ze stanowiskiem ARiMR, wzór na wyliczenie efektu </w:t>
      </w:r>
      <w:proofErr w:type="spellStart"/>
      <w:r w:rsidRPr="00DA4E7B">
        <w:rPr>
          <w:rFonts w:ascii="digital1" w:hAnsi="digital1"/>
        </w:rPr>
        <w:t>deadweight</w:t>
      </w:r>
      <w:proofErr w:type="spellEnd"/>
      <w:r w:rsidRPr="00DA4E7B">
        <w:rPr>
          <w:rFonts w:ascii="digital1" w:hAnsi="digital1"/>
        </w:rPr>
        <w:t xml:space="preserve"> stosowany w drogach może być pomocny przy weryfikacji spełnienia tego warunku w ramach </w:t>
      </w:r>
      <w:proofErr w:type="spellStart"/>
      <w:r w:rsidRPr="00DA4E7B">
        <w:rPr>
          <w:rFonts w:ascii="digital1" w:hAnsi="digital1"/>
        </w:rPr>
        <w:t>Leader’a</w:t>
      </w:r>
      <w:proofErr w:type="spellEnd"/>
      <w:r w:rsidRPr="00DA4E7B">
        <w:rPr>
          <w:rFonts w:ascii="digital1" w:hAnsi="digital1"/>
        </w:rPr>
        <w:t xml:space="preserve">. </w:t>
      </w:r>
    </w:p>
    <w:p w:rsidR="00DA4E7B" w:rsidRPr="00DA4E7B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</w:rPr>
        <w:t xml:space="preserve"> </w:t>
      </w:r>
    </w:p>
    <w:p w:rsidR="00DA4E7B" w:rsidRPr="00DA4E7B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</w:rPr>
        <w:t>gdzie:</w:t>
      </w:r>
    </w:p>
    <w:p w:rsidR="00DA4E7B" w:rsidRPr="00DA4E7B" w:rsidRDefault="00DA4E7B" w:rsidP="00DA4E7B">
      <w:pPr>
        <w:rPr>
          <w:rFonts w:ascii="digital1" w:hAnsi="digital1"/>
        </w:rPr>
      </w:pPr>
      <w:proofErr w:type="spellStart"/>
      <w:r w:rsidRPr="00DA4E7B">
        <w:rPr>
          <w:rFonts w:ascii="digital1" w:hAnsi="digital1"/>
        </w:rPr>
        <w:t>EDW</w:t>
      </w:r>
      <w:proofErr w:type="spellEnd"/>
      <w:r w:rsidRPr="00DA4E7B">
        <w:rPr>
          <w:rFonts w:ascii="digital1" w:hAnsi="digital1"/>
        </w:rPr>
        <w:t xml:space="preserve"> – wartość procentowa zdarzenia niezależnego [Efekt </w:t>
      </w:r>
      <w:proofErr w:type="spellStart"/>
      <w:r w:rsidRPr="00DA4E7B">
        <w:rPr>
          <w:rFonts w:ascii="digital1" w:hAnsi="digital1"/>
        </w:rPr>
        <w:t>Deadweight</w:t>
      </w:r>
      <w:proofErr w:type="spellEnd"/>
      <w:r w:rsidRPr="00DA4E7B">
        <w:rPr>
          <w:rFonts w:ascii="digital1" w:hAnsi="digital1"/>
        </w:rPr>
        <w:t>];</w:t>
      </w:r>
    </w:p>
    <w:p w:rsidR="00DA4E7B" w:rsidRPr="00DA4E7B" w:rsidRDefault="00DA4E7B" w:rsidP="00DA4E7B">
      <w:pPr>
        <w:rPr>
          <w:rFonts w:ascii="digital1" w:hAnsi="digital1"/>
        </w:rPr>
      </w:pPr>
      <w:proofErr w:type="spellStart"/>
      <w:r w:rsidRPr="00DA4E7B">
        <w:rPr>
          <w:rFonts w:ascii="digital1" w:hAnsi="digital1"/>
        </w:rPr>
        <w:t>NDW</w:t>
      </w:r>
      <w:proofErr w:type="spellEnd"/>
      <w:r w:rsidRPr="00DA4E7B">
        <w:rPr>
          <w:rFonts w:ascii="digital1" w:hAnsi="digital1"/>
        </w:rPr>
        <w:t xml:space="preserve"> – nakłady (netto), które poniósłby podmiot bez dofinansowania ze środków publicznych;</w:t>
      </w:r>
    </w:p>
    <w:p w:rsidR="00DA4E7B" w:rsidRPr="00DA4E7B" w:rsidRDefault="00DA4E7B" w:rsidP="00DA4E7B">
      <w:pPr>
        <w:rPr>
          <w:rFonts w:ascii="digital1" w:hAnsi="digital1"/>
        </w:rPr>
      </w:pPr>
      <w:proofErr w:type="spellStart"/>
      <w:r w:rsidRPr="00DA4E7B">
        <w:rPr>
          <w:rFonts w:ascii="digital1" w:hAnsi="digital1"/>
        </w:rPr>
        <w:t>NC</w:t>
      </w:r>
      <w:proofErr w:type="spellEnd"/>
      <w:r w:rsidRPr="00DA4E7B">
        <w:rPr>
          <w:rFonts w:ascii="digital1" w:hAnsi="digital1"/>
        </w:rPr>
        <w:t xml:space="preserve"> - nakłady całkowite (netto) na realizację operacji;</w:t>
      </w:r>
    </w:p>
    <w:p w:rsidR="00DA4E7B" w:rsidRPr="00DA4E7B" w:rsidRDefault="00DA4E7B" w:rsidP="00DA4E7B">
      <w:pPr>
        <w:rPr>
          <w:rFonts w:ascii="digital1" w:hAnsi="digital1"/>
        </w:rPr>
      </w:pPr>
      <w:proofErr w:type="spellStart"/>
      <w:r w:rsidRPr="00DA4E7B">
        <w:rPr>
          <w:rFonts w:ascii="digital1" w:hAnsi="digital1"/>
        </w:rPr>
        <w:t>tC</w:t>
      </w:r>
      <w:proofErr w:type="spellEnd"/>
      <w:r w:rsidRPr="00DA4E7B">
        <w:rPr>
          <w:rFonts w:ascii="digital1" w:hAnsi="digital1"/>
        </w:rPr>
        <w:t xml:space="preserve"> – całkowity czas realizacji operacji, zaplanowany we wniosku (w miesiącach);</w:t>
      </w:r>
    </w:p>
    <w:p w:rsidR="00DA4E7B" w:rsidRPr="00DA4E7B" w:rsidRDefault="00DA4E7B" w:rsidP="00DA4E7B">
      <w:pPr>
        <w:rPr>
          <w:rFonts w:ascii="digital1" w:hAnsi="digital1"/>
        </w:rPr>
      </w:pPr>
      <w:proofErr w:type="spellStart"/>
      <w:r w:rsidRPr="00DA4E7B">
        <w:rPr>
          <w:rFonts w:ascii="digital1" w:hAnsi="digital1"/>
        </w:rPr>
        <w:t>tDW</w:t>
      </w:r>
      <w:proofErr w:type="spellEnd"/>
      <w:r w:rsidRPr="00DA4E7B">
        <w:rPr>
          <w:rFonts w:ascii="digital1" w:hAnsi="digital1"/>
        </w:rPr>
        <w:t xml:space="preserve"> – czas, o jaki wydłużyłaby się realizacja inwestycji w przypadku braku dofinasowania (liczony w miesiącach)</w:t>
      </w:r>
    </w:p>
    <w:p w:rsidR="00DA4E7B" w:rsidRPr="00DA4E7B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</w:rPr>
        <w:t xml:space="preserve">W przypadku, gdy wyliczona wartość procentowa zdarzenia niezależnego dla danej operacji będzie wynosić co najmniej 100% uznać należy, że wystąpi efekt </w:t>
      </w:r>
      <w:proofErr w:type="spellStart"/>
      <w:r w:rsidRPr="00DA4E7B">
        <w:rPr>
          <w:rFonts w:ascii="digital1" w:hAnsi="digital1"/>
        </w:rPr>
        <w:t>deadweight</w:t>
      </w:r>
      <w:proofErr w:type="spellEnd"/>
      <w:r w:rsidRPr="00DA4E7B">
        <w:rPr>
          <w:rFonts w:ascii="digital1" w:hAnsi="digital1"/>
        </w:rPr>
        <w:t xml:space="preserve"> i wówczas nastąpi odmowa przyznania pomocy, uznając że podmiot zrealizowałby </w:t>
      </w:r>
      <w:r w:rsidRPr="00DA4E7B">
        <w:rPr>
          <w:rFonts w:ascii="digital1" w:hAnsi="digital1"/>
        </w:rPr>
        <w:lastRenderedPageBreak/>
        <w:t>operację bez udziału środków publicznych. Uzyskanie wartości niższych niż 100% - będzie oznaczać, że operacja nie mogłaby zostać zrealizowana bez wsparcia środków publicznych.</w:t>
      </w:r>
    </w:p>
    <w:p w:rsidR="007466DC" w:rsidRDefault="00DA4E7B" w:rsidP="00DA4E7B">
      <w:pPr>
        <w:rPr>
          <w:rFonts w:ascii="digital1" w:hAnsi="digital1"/>
        </w:rPr>
      </w:pPr>
      <w:r w:rsidRPr="00DA4E7B">
        <w:rPr>
          <w:rFonts w:ascii="digital1" w:hAnsi="digital1"/>
        </w:rPr>
        <w:t>Wskazać przy tym należy, że brak możliwości realizacji operacji bez wsparcia środków publicznych powinna również wynikać „z pozostałych dokumentów zgromadzonych w teczce sprawy”.</w:t>
      </w:r>
    </w:p>
    <w:p w:rsidR="00E5063B" w:rsidRDefault="00E5063B" w:rsidP="00DA4E7B">
      <w:pPr>
        <w:rPr>
          <w:rFonts w:ascii="digital1" w:hAnsi="digital1"/>
        </w:rPr>
      </w:pPr>
    </w:p>
    <w:p w:rsidR="00E5063B" w:rsidRP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  <w:highlight w:val="yellow"/>
        </w:rPr>
        <w:t>Pytanie 3</w:t>
      </w:r>
      <w:r w:rsidRPr="00E5063B">
        <w:rPr>
          <w:rFonts w:ascii="digital1" w:hAnsi="digital1"/>
        </w:rPr>
        <w:t xml:space="preserve">. Czy istnieje coś takiego jak ogólnopolski rejestr podmiotów, które otrzymały pomoc de </w:t>
      </w:r>
      <w:proofErr w:type="spellStart"/>
      <w:r w:rsidRPr="00E5063B">
        <w:rPr>
          <w:rFonts w:ascii="digital1" w:hAnsi="digital1"/>
        </w:rPr>
        <w:t>minimis</w:t>
      </w:r>
      <w:proofErr w:type="spellEnd"/>
      <w:r w:rsidRPr="00E5063B">
        <w:rPr>
          <w:rFonts w:ascii="digital1" w:hAnsi="digital1"/>
        </w:rPr>
        <w:t>?</w:t>
      </w:r>
    </w:p>
    <w:p w:rsidR="00E5063B" w:rsidRPr="00E5063B" w:rsidRDefault="00E5063B" w:rsidP="00EA50F5">
      <w:pPr>
        <w:jc w:val="both"/>
        <w:rPr>
          <w:rFonts w:ascii="digital1" w:hAnsi="digital1"/>
        </w:rPr>
      </w:pPr>
      <w:r w:rsidRPr="00E5063B">
        <w:rPr>
          <w:rFonts w:ascii="digital1" w:hAnsi="digital1"/>
          <w:highlight w:val="yellow"/>
        </w:rPr>
        <w:t>Odpowiedź 3</w:t>
      </w:r>
      <w:r w:rsidRPr="00E5063B">
        <w:rPr>
          <w:rFonts w:ascii="digital1" w:hAnsi="digital1"/>
          <w:highlight w:val="yellow"/>
        </w:rPr>
        <w:t>.</w:t>
      </w:r>
      <w:r w:rsidRPr="00E5063B">
        <w:rPr>
          <w:rFonts w:ascii="digital1" w:hAnsi="digital1"/>
        </w:rPr>
        <w:t xml:space="preserve"> Na stronie internetowej Urzędu Ochrony Konkurencji i Konsumentów jest ogólnodostępna baza </w:t>
      </w:r>
      <w:proofErr w:type="spellStart"/>
      <w:r w:rsidRPr="00E5063B">
        <w:rPr>
          <w:rFonts w:ascii="digital1" w:hAnsi="digital1"/>
        </w:rPr>
        <w:t>SUDOP</w:t>
      </w:r>
      <w:proofErr w:type="spellEnd"/>
      <w:r w:rsidRPr="00E5063B">
        <w:rPr>
          <w:rFonts w:ascii="digital1" w:hAnsi="digital1"/>
        </w:rPr>
        <w:t xml:space="preserve"> (System Udostępniania Danych o Pomocy Publicznej), która zawiera informacje o wszelkiej pomocy publicznej i pomocy de </w:t>
      </w:r>
      <w:proofErr w:type="spellStart"/>
      <w:r w:rsidRPr="00E5063B">
        <w:rPr>
          <w:rFonts w:ascii="digital1" w:hAnsi="digital1"/>
        </w:rPr>
        <w:t>minimis</w:t>
      </w:r>
      <w:proofErr w:type="spellEnd"/>
      <w:r w:rsidRPr="00E5063B">
        <w:rPr>
          <w:rFonts w:ascii="digital1" w:hAnsi="digital1"/>
        </w:rPr>
        <w:t xml:space="preserve"> udzielonej danemu beneficjentowi.</w:t>
      </w:r>
    </w:p>
    <w:p w:rsidR="00E5063B" w:rsidRPr="00E5063B" w:rsidRDefault="00E5063B" w:rsidP="00EA50F5">
      <w:pPr>
        <w:jc w:val="both"/>
        <w:rPr>
          <w:rFonts w:ascii="digital1" w:hAnsi="digital1"/>
        </w:rPr>
      </w:pPr>
      <w:r w:rsidRPr="00E5063B">
        <w:rPr>
          <w:rFonts w:ascii="digital1" w:hAnsi="digital1"/>
          <w:highlight w:val="yellow"/>
        </w:rPr>
        <w:t>Pytanie 4</w:t>
      </w:r>
      <w:r w:rsidRPr="00E5063B">
        <w:rPr>
          <w:rFonts w:ascii="digital1" w:hAnsi="digital1"/>
          <w:highlight w:val="yellow"/>
        </w:rPr>
        <w:t>.</w:t>
      </w:r>
      <w:r w:rsidRPr="00E5063B">
        <w:rPr>
          <w:rFonts w:ascii="digital1" w:hAnsi="digital1"/>
        </w:rPr>
        <w:t xml:space="preserve"> Podnoszenie kompetencji: Czy w ramach podnoszenia kompetencji można sfinansować studia podyplomowe, studia uzupełniające, usługi noclegowe związane z udziałem w szkoleniach, studiach, koszty dojazdu na szkolenia, studia?</w:t>
      </w:r>
    </w:p>
    <w:p w:rsidR="00E5063B" w:rsidRPr="00E5063B" w:rsidRDefault="00E5063B" w:rsidP="00EA50F5">
      <w:pPr>
        <w:jc w:val="both"/>
        <w:rPr>
          <w:rFonts w:ascii="digital1" w:hAnsi="digital1"/>
        </w:rPr>
      </w:pPr>
      <w:r w:rsidRPr="00E5063B">
        <w:rPr>
          <w:rFonts w:ascii="digital1" w:hAnsi="digital1"/>
          <w:highlight w:val="yellow"/>
        </w:rPr>
        <w:t>Odpowiedź 4</w:t>
      </w:r>
      <w:r w:rsidRPr="00E5063B">
        <w:rPr>
          <w:rFonts w:ascii="digital1" w:hAnsi="digital1"/>
          <w:highlight w:val="yellow"/>
        </w:rPr>
        <w:t>.</w:t>
      </w:r>
      <w:r w:rsidRPr="00E5063B">
        <w:rPr>
          <w:rFonts w:ascii="digital1" w:hAnsi="digital1"/>
        </w:rPr>
        <w:t xml:space="preserve"> Należy zwrócić uwagę na maksymalny czas realizacji operacji tj. 2 lata od dnia zawarcia umowy, co wynika z § 4 ust. 1 pkt 2 Rozporządzenia dot. wdrażania </w:t>
      </w:r>
      <w:proofErr w:type="spellStart"/>
      <w:r w:rsidRPr="00E5063B">
        <w:rPr>
          <w:rFonts w:ascii="digital1" w:hAnsi="digital1"/>
        </w:rPr>
        <w:t>LSR</w:t>
      </w:r>
      <w:proofErr w:type="spellEnd"/>
      <w:r w:rsidRPr="00E5063B">
        <w:rPr>
          <w:rFonts w:ascii="digital1" w:hAnsi="digital1"/>
        </w:rPr>
        <w:t xml:space="preserve">. W okresie tym wydatki muszą nie tylko zostać poniesione, ale kurs/ studia zakończone. Wskazać również należy, że koszty kwalifikowalne podlegają refundacji jeśli zostały poniesione od dnia, w którym została zawarta umowa, co wynika  zapisów §29 ust. 3 Rozporządzenia dot. wdrażania </w:t>
      </w:r>
      <w:proofErr w:type="spellStart"/>
      <w:r w:rsidRPr="00E5063B">
        <w:rPr>
          <w:rFonts w:ascii="digital1" w:hAnsi="digital1"/>
        </w:rPr>
        <w:t>LSR</w:t>
      </w:r>
      <w:proofErr w:type="spellEnd"/>
      <w:r w:rsidRPr="00E5063B">
        <w:rPr>
          <w:rFonts w:ascii="digital1" w:hAnsi="digital1"/>
        </w:rPr>
        <w:t xml:space="preserve">. Należy również pamiętać , że zakres związany z podnoszeniem kompetencji musi być związany z częścią „inwestycyjną” i jest przedmiotem jednego wniosku o przyznanie pomocy. W kwestii kwalifikowalności kosztów związanych z dojazdami/ noclegami pytanie zostanie skierowane do Agencji Restrukturyzacji i Modernizacji Rolnictwa.  </w:t>
      </w:r>
    </w:p>
    <w:p w:rsidR="00E5063B" w:rsidRPr="00E5063B" w:rsidRDefault="00E5063B" w:rsidP="00E5063B">
      <w:pPr>
        <w:rPr>
          <w:rFonts w:ascii="digital1" w:hAnsi="digital1"/>
        </w:rPr>
      </w:pPr>
      <w:r w:rsidRPr="00EA50F5">
        <w:rPr>
          <w:rFonts w:ascii="digital1" w:hAnsi="digital1"/>
          <w:highlight w:val="yellow"/>
        </w:rPr>
        <w:t>Pytanie 5</w:t>
      </w:r>
      <w:r w:rsidRPr="00E5063B">
        <w:rPr>
          <w:rFonts w:ascii="digital1" w:hAnsi="digital1"/>
        </w:rPr>
        <w:t xml:space="preserve">– prosimy o podanie wzoru na </w:t>
      </w:r>
      <w:proofErr w:type="spellStart"/>
      <w:r w:rsidRPr="00E5063B">
        <w:rPr>
          <w:rFonts w:ascii="digital1" w:hAnsi="digital1"/>
        </w:rPr>
        <w:t>NPV</w:t>
      </w:r>
      <w:proofErr w:type="spellEnd"/>
      <w:r w:rsidRPr="00E5063B">
        <w:rPr>
          <w:rFonts w:ascii="digital1" w:hAnsi="digital1"/>
        </w:rPr>
        <w:t>.</w:t>
      </w:r>
    </w:p>
    <w:p w:rsidR="00E5063B" w:rsidRPr="00E5063B" w:rsidRDefault="00E5063B" w:rsidP="004818F6">
      <w:pPr>
        <w:jc w:val="both"/>
        <w:rPr>
          <w:rFonts w:ascii="digital1" w:hAnsi="digital1"/>
        </w:rPr>
      </w:pPr>
      <w:r w:rsidRPr="00EA50F5">
        <w:rPr>
          <w:rFonts w:ascii="digital1" w:hAnsi="digital1"/>
          <w:highlight w:val="yellow"/>
        </w:rPr>
        <w:t>Odpowiedź 5</w:t>
      </w:r>
      <w:r w:rsidRPr="00EA50F5">
        <w:rPr>
          <w:rFonts w:ascii="digital1" w:hAnsi="digital1"/>
          <w:highlight w:val="yellow"/>
        </w:rPr>
        <w:t>.</w:t>
      </w:r>
      <w:r w:rsidRPr="00E5063B">
        <w:rPr>
          <w:rFonts w:ascii="digital1" w:hAnsi="digital1"/>
        </w:rPr>
        <w:t xml:space="preserve"> Zgodni z zapisami instrukcji wypełniania biznes planu, </w:t>
      </w:r>
      <w:proofErr w:type="spellStart"/>
      <w:r w:rsidRPr="00E5063B">
        <w:rPr>
          <w:rFonts w:ascii="digital1" w:hAnsi="digital1"/>
        </w:rPr>
        <w:t>NPV</w:t>
      </w:r>
      <w:proofErr w:type="spellEnd"/>
      <w:r w:rsidRPr="00E5063B">
        <w:rPr>
          <w:rFonts w:ascii="digital1" w:hAnsi="digital1"/>
        </w:rPr>
        <w:t xml:space="preserve"> to suma zdyskontowanych oddzielnie dla każdego roku przepływów pieniężnych, zrealizowanych w całym okresie objętym rachunkiem, przy stałym poziomie stopy dyskontowej. Pomocnym może być powszechnie stosowany wzór: </w:t>
      </w:r>
    </w:p>
    <w:p w:rsidR="00E5063B" w:rsidRP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</w:rPr>
        <w:t xml:space="preserve"> </w:t>
      </w:r>
    </w:p>
    <w:p w:rsidR="00E5063B" w:rsidRP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</w:rPr>
        <w:t>gdzie:</w:t>
      </w:r>
    </w:p>
    <w:p w:rsidR="00E5063B" w:rsidRPr="00E5063B" w:rsidRDefault="00E5063B" w:rsidP="00E5063B">
      <w:pPr>
        <w:rPr>
          <w:rFonts w:ascii="digital1" w:hAnsi="digital1"/>
        </w:rPr>
      </w:pPr>
      <w:proofErr w:type="spellStart"/>
      <w:r w:rsidRPr="00E5063B">
        <w:rPr>
          <w:rFonts w:ascii="digital1" w:hAnsi="digital1"/>
        </w:rPr>
        <w:t>NPV</w:t>
      </w:r>
      <w:proofErr w:type="spellEnd"/>
      <w:r w:rsidRPr="00E5063B">
        <w:rPr>
          <w:rFonts w:ascii="digital1" w:hAnsi="digital1"/>
        </w:rPr>
        <w:tab/>
        <w:t>- wartość bieżąca netto,</w:t>
      </w:r>
    </w:p>
    <w:p w:rsidR="00E5063B" w:rsidRPr="00E5063B" w:rsidRDefault="00E5063B" w:rsidP="00E5063B">
      <w:pPr>
        <w:rPr>
          <w:rFonts w:ascii="digital1" w:hAnsi="digital1"/>
        </w:rPr>
      </w:pPr>
      <w:proofErr w:type="spellStart"/>
      <w:r w:rsidRPr="00E5063B">
        <w:rPr>
          <w:rFonts w:ascii="digital1" w:hAnsi="digital1"/>
        </w:rPr>
        <w:t>CFt</w:t>
      </w:r>
      <w:proofErr w:type="spellEnd"/>
      <w:r w:rsidRPr="00E5063B">
        <w:rPr>
          <w:rFonts w:ascii="digital1" w:hAnsi="digital1"/>
        </w:rPr>
        <w:tab/>
        <w:t>-  przepływy gotówkowe (netto) w okresie t,</w:t>
      </w:r>
    </w:p>
    <w:p w:rsidR="00E5063B" w:rsidRP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</w:rPr>
        <w:t>R</w:t>
      </w:r>
      <w:r w:rsidRPr="00E5063B">
        <w:rPr>
          <w:rFonts w:ascii="digital1" w:hAnsi="digital1"/>
        </w:rPr>
        <w:tab/>
        <w:t>- stopa dyskonta,</w:t>
      </w:r>
    </w:p>
    <w:p w:rsidR="00E5063B" w:rsidRP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</w:rPr>
        <w:t>I0</w:t>
      </w:r>
      <w:r w:rsidRPr="00E5063B">
        <w:rPr>
          <w:rFonts w:ascii="digital1" w:hAnsi="digital1"/>
        </w:rPr>
        <w:tab/>
        <w:t>- nakłady początkowe,</w:t>
      </w:r>
    </w:p>
    <w:p w:rsidR="00E5063B" w:rsidRDefault="00E5063B" w:rsidP="00E5063B">
      <w:pPr>
        <w:rPr>
          <w:rFonts w:ascii="digital1" w:hAnsi="digital1"/>
        </w:rPr>
      </w:pPr>
      <w:r w:rsidRPr="00E5063B">
        <w:rPr>
          <w:rFonts w:ascii="digital1" w:hAnsi="digital1"/>
        </w:rPr>
        <w:lastRenderedPageBreak/>
        <w:t xml:space="preserve">t </w:t>
      </w:r>
      <w:r w:rsidRPr="00E5063B">
        <w:rPr>
          <w:rFonts w:ascii="digital1" w:hAnsi="digital1"/>
        </w:rPr>
        <w:tab/>
        <w:t>- kolejne okresy (najczęściej lata) eksploatacji inwestycji</w:t>
      </w:r>
    </w:p>
    <w:p w:rsidR="004818F6" w:rsidRDefault="004818F6" w:rsidP="00E5063B">
      <w:pPr>
        <w:rPr>
          <w:rFonts w:ascii="digital1" w:hAnsi="digital1"/>
        </w:rPr>
      </w:pPr>
    </w:p>
    <w:p w:rsidR="004818F6" w:rsidRPr="004818F6" w:rsidRDefault="004818F6" w:rsidP="004818F6">
      <w:pPr>
        <w:jc w:val="both"/>
        <w:rPr>
          <w:rFonts w:ascii="digital1" w:hAnsi="digital1"/>
        </w:rPr>
      </w:pPr>
      <w:r w:rsidRPr="004818F6">
        <w:rPr>
          <w:rFonts w:ascii="digital1" w:hAnsi="digital1"/>
          <w:highlight w:val="yellow"/>
        </w:rPr>
        <w:t>Pytanie 6</w:t>
      </w:r>
      <w:r w:rsidRPr="004818F6">
        <w:rPr>
          <w:rFonts w:ascii="digital1" w:hAnsi="digital1"/>
          <w:highlight w:val="yellow"/>
        </w:rPr>
        <w:t>.</w:t>
      </w:r>
      <w:r w:rsidRPr="004818F6">
        <w:rPr>
          <w:rFonts w:ascii="digital1" w:hAnsi="digital1"/>
        </w:rPr>
        <w:t xml:space="preserve"> §15, ust. 5a. W przypadku wspólnej realizacji operacji przy ustalaniu wysokości środków pozostałych do wykorzystania w ramach limitu, o którym mowa w ust. 1 i 2,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operację. Na jakiej podstawie Wnioskodawcy mają wyliczać % udział partnerów w realizacji operacji. </w:t>
      </w:r>
    </w:p>
    <w:p w:rsidR="004818F6" w:rsidRDefault="004818F6" w:rsidP="004818F6">
      <w:pPr>
        <w:jc w:val="both"/>
        <w:rPr>
          <w:rFonts w:ascii="digital1" w:hAnsi="digital1"/>
        </w:rPr>
      </w:pPr>
      <w:r w:rsidRPr="004818F6">
        <w:rPr>
          <w:rFonts w:ascii="digital1" w:hAnsi="digital1"/>
          <w:highlight w:val="yellow"/>
        </w:rPr>
        <w:t>Odpowiedź 6</w:t>
      </w:r>
      <w:r w:rsidRPr="004818F6">
        <w:rPr>
          <w:rFonts w:ascii="digital1" w:hAnsi="digital1"/>
        </w:rPr>
        <w:t xml:space="preserve">. Zgodnie z zapisami § 15 ust. 5a Kwota, o którą pomniejszana jest wysokość limitu pomocy na beneficjenta, stanowi iloczyn procentowy udział każdego z tych podmiotów we wnioskowanej kwocie pomocy wskazanego wniosku o przyznanie pomocy oraz kwoty pomocy przyznawanej na operację. Wnioskodawcy /partnerzy wyliczają i wskazują we wniosku o przyznanie pomocy swój procentowy udział, zgodnie z założeniem jak wysoki będzie ich udział we wnioskowanej kwocie pomocy.  </w:t>
      </w:r>
    </w:p>
    <w:p w:rsidR="00EE0B97" w:rsidRPr="00EE0B97" w:rsidRDefault="00EE0B97" w:rsidP="00EE0B97">
      <w:pPr>
        <w:jc w:val="both"/>
        <w:rPr>
          <w:rFonts w:ascii="digital1" w:hAnsi="digital1"/>
        </w:rPr>
      </w:pPr>
      <w:r w:rsidRPr="00EE0B97">
        <w:rPr>
          <w:rFonts w:ascii="digital1" w:hAnsi="digital1"/>
          <w:highlight w:val="yellow"/>
        </w:rPr>
        <w:t>Pytanie 7</w:t>
      </w:r>
      <w:r w:rsidRPr="00EE0B97">
        <w:rPr>
          <w:rFonts w:ascii="digital1" w:hAnsi="digital1"/>
          <w:highlight w:val="yellow"/>
        </w:rPr>
        <w:t>.</w:t>
      </w:r>
      <w:r w:rsidRPr="00EE0B97">
        <w:rPr>
          <w:rFonts w:ascii="digital1" w:hAnsi="digital1"/>
        </w:rPr>
        <w:t xml:space="preserve"> W karcie weryfikacji jest zapis, że mamy weryfikować czy "Koszty planowane do poniesienia w ramach operacji mieszczą się w zakresie kosztów, o których mowa w § 17 ust. 1 rozporządzenia3 i nie są kosztami inwestycji polegającej na budowie albo przebudowie liniowych obiektów budowlanych w części dotyczącej realizacji odcinków zlokalizowanych poza obszarem wiejskim objętym </w:t>
      </w:r>
      <w:proofErr w:type="spellStart"/>
      <w:r w:rsidRPr="00EE0B97">
        <w:rPr>
          <w:rFonts w:ascii="digital1" w:hAnsi="digital1"/>
        </w:rPr>
        <w:t>LSR</w:t>
      </w:r>
      <w:proofErr w:type="spellEnd"/>
      <w:r w:rsidRPr="00EE0B97">
        <w:rPr>
          <w:rFonts w:ascii="digital1" w:hAnsi="digital1"/>
        </w:rPr>
        <w:t>". Co w sytuacji, kiedy jeden z kosztów nie mieści się we wskazanym wyżej zakresie? Jeżeli odpowiemy nie to wniosek nie przechodzi do dalszej oceny i nie ma szans był wybranym.</w:t>
      </w:r>
    </w:p>
    <w:p w:rsidR="004818F6" w:rsidRDefault="00EE0B97" w:rsidP="00EE0B97">
      <w:pPr>
        <w:jc w:val="both"/>
        <w:rPr>
          <w:rFonts w:ascii="digital1" w:hAnsi="digital1"/>
        </w:rPr>
      </w:pPr>
      <w:r w:rsidRPr="00EE0B97">
        <w:rPr>
          <w:rFonts w:ascii="digital1" w:hAnsi="digital1"/>
          <w:highlight w:val="yellow"/>
        </w:rPr>
        <w:t>Odpowiedź 7</w:t>
      </w:r>
      <w:r w:rsidRPr="00EE0B97">
        <w:rPr>
          <w:rFonts w:ascii="digital1" w:hAnsi="digital1"/>
        </w:rPr>
        <w:t xml:space="preserve">. </w:t>
      </w:r>
      <w:proofErr w:type="spellStart"/>
      <w:r w:rsidRPr="00EE0B97">
        <w:rPr>
          <w:rFonts w:ascii="digital1" w:hAnsi="digital1"/>
        </w:rPr>
        <w:t>LGD</w:t>
      </w:r>
      <w:proofErr w:type="spellEnd"/>
      <w:r w:rsidRPr="00EE0B97">
        <w:rPr>
          <w:rFonts w:ascii="digital1" w:hAnsi="digital1"/>
        </w:rPr>
        <w:t xml:space="preserve"> powinna postępować zgodnie z przyjętymi procedurami w tym zakresie. Zwrócić należy uwagę – że zgodnie z Wytyczną Instytucji Zarządzającej – ocena racjonalności i kwalifikowalności kosztów – nie jest obligatoryjna, a jeśli </w:t>
      </w:r>
      <w:proofErr w:type="spellStart"/>
      <w:r w:rsidRPr="00EE0B97">
        <w:rPr>
          <w:rFonts w:ascii="digital1" w:hAnsi="digital1"/>
        </w:rPr>
        <w:t>LGD</w:t>
      </w:r>
      <w:proofErr w:type="spellEnd"/>
      <w:r w:rsidRPr="00EE0B97">
        <w:rPr>
          <w:rFonts w:ascii="digital1" w:hAnsi="digital1"/>
        </w:rPr>
        <w:t xml:space="preserve"> przewidziała ich weryfikacje winna ona mieć wpływ na kwotę wsparcia. Niezależnie, w ocenie samorządu województwa, </w:t>
      </w:r>
      <w:proofErr w:type="spellStart"/>
      <w:r w:rsidRPr="00EE0B97">
        <w:rPr>
          <w:rFonts w:ascii="digital1" w:hAnsi="digital1"/>
        </w:rPr>
        <w:t>LGD</w:t>
      </w:r>
      <w:proofErr w:type="spellEnd"/>
      <w:r w:rsidRPr="00EE0B97">
        <w:rPr>
          <w:rFonts w:ascii="digital1" w:hAnsi="digital1"/>
        </w:rPr>
        <w:t xml:space="preserve"> winna zwrócić uwagę na kwalifikowalność projektu jako całości (czy np. w ramach rozwijania działalności jedynym kosztem wniosku nie jest zakup środka transportu).</w:t>
      </w:r>
    </w:p>
    <w:p w:rsidR="003C2DF8" w:rsidRPr="003C2DF8" w:rsidRDefault="003C2DF8" w:rsidP="003C2DF8">
      <w:pPr>
        <w:jc w:val="both"/>
        <w:rPr>
          <w:rFonts w:ascii="digital1" w:hAnsi="digital1"/>
        </w:rPr>
      </w:pPr>
      <w:r w:rsidRPr="003C2DF8">
        <w:rPr>
          <w:rFonts w:ascii="digital1" w:hAnsi="digital1"/>
          <w:highlight w:val="yellow"/>
        </w:rPr>
        <w:t>Pytanie 8</w:t>
      </w:r>
      <w:r w:rsidRPr="003C2DF8">
        <w:rPr>
          <w:rFonts w:ascii="digital1" w:hAnsi="digital1"/>
          <w:highlight w:val="yellow"/>
        </w:rPr>
        <w:t>.</w:t>
      </w:r>
      <w:r w:rsidRPr="003C2DF8">
        <w:rPr>
          <w:rFonts w:ascii="digital1" w:hAnsi="digital1"/>
        </w:rPr>
        <w:t xml:space="preserve"> Pkt. 9.2 – czy w przypadku rozwoju rachunek zysków i strat ma obejmować całą działalność czy tylko część dotyczącą rozwijanej branży?</w:t>
      </w:r>
    </w:p>
    <w:p w:rsidR="003C2DF8" w:rsidRPr="003C2DF8" w:rsidRDefault="003C2DF8" w:rsidP="003C2DF8">
      <w:pPr>
        <w:jc w:val="both"/>
        <w:rPr>
          <w:rFonts w:ascii="digital1" w:hAnsi="digital1"/>
        </w:rPr>
      </w:pPr>
      <w:r w:rsidRPr="003C2DF8">
        <w:rPr>
          <w:rFonts w:ascii="digital1" w:hAnsi="digital1"/>
          <w:highlight w:val="yellow"/>
        </w:rPr>
        <w:t>Pytanie8</w:t>
      </w:r>
      <w:r w:rsidRPr="003C2DF8">
        <w:rPr>
          <w:rFonts w:ascii="digital1" w:hAnsi="digital1"/>
          <w:highlight w:val="yellow"/>
        </w:rPr>
        <w:t>a.</w:t>
      </w:r>
      <w:r w:rsidRPr="003C2DF8">
        <w:rPr>
          <w:rFonts w:ascii="digital1" w:hAnsi="digital1"/>
        </w:rPr>
        <w:t xml:space="preserve"> Proszę o potwierdzenie, że prognozy, które mają być zawarte w tabelach 9.1. i 9.2. a w konsekwencji tabeli 9.3. Biznes Planu mają dotyczyć tylko realizowanej operacji będącej przedmiotem wniosku o dofinansowanie – a nie całej działalności firmy (w tym prowadzonej do momentu realizacji operacji)?</w:t>
      </w:r>
    </w:p>
    <w:p w:rsidR="003C2DF8" w:rsidRPr="007466DC" w:rsidRDefault="003C2DF8" w:rsidP="003C2DF8">
      <w:pPr>
        <w:jc w:val="both"/>
        <w:rPr>
          <w:rFonts w:ascii="digital1" w:hAnsi="digital1"/>
        </w:rPr>
      </w:pPr>
      <w:r w:rsidRPr="003C2DF8">
        <w:rPr>
          <w:rFonts w:ascii="digital1" w:hAnsi="digital1"/>
          <w:highlight w:val="yellow"/>
        </w:rPr>
        <w:t>Odpowiedź 8, 8</w:t>
      </w:r>
      <w:r w:rsidRPr="003C2DF8">
        <w:rPr>
          <w:rFonts w:ascii="digital1" w:hAnsi="digital1"/>
          <w:highlight w:val="yellow"/>
        </w:rPr>
        <w:t>a.</w:t>
      </w:r>
      <w:r w:rsidRPr="003C2DF8">
        <w:rPr>
          <w:rFonts w:ascii="digital1" w:hAnsi="digital1"/>
        </w:rPr>
        <w:t xml:space="preserve"> Zgodnie z zapisami instrukcji wypełniania biznesplanu, „rachunek zysków i strat (rachunek wyników) informuje jaka jest efektywność poszczególnych rodzajów działalności oraz jaki jest ogólny wynik finansowy przedsiębiorstwa. Rachunek wyników jest zestawieniem strumieni przychodów uzyskanych ze sprzedaży wyrobów, towarów bądź usług w rama</w:t>
      </w:r>
      <w:bookmarkStart w:id="0" w:name="_GoBack"/>
      <w:bookmarkEnd w:id="0"/>
      <w:r w:rsidRPr="003C2DF8">
        <w:rPr>
          <w:rFonts w:ascii="digital1" w:hAnsi="digital1"/>
        </w:rPr>
        <w:t xml:space="preserve">ch prowadzonej operacji (tj. przychodów uzyskanych z </w:t>
      </w:r>
      <w:r w:rsidRPr="003C2DF8">
        <w:rPr>
          <w:rFonts w:ascii="digital1" w:hAnsi="digital1"/>
        </w:rPr>
        <w:lastRenderedPageBreak/>
        <w:t>realizacji operacji i uzyskanych zysków nadzwyczajnych oraz kosztów uzyskania przychodów, poniesionych strat nadzwyczajnych i opłaconych podatków – w zakresie dotyczącym działalności związanej z operacją)”. Z powyższego wynika, że rachunek zysków i strat ma obejmować tylko część dotyczącą rozwijanej branży.</w:t>
      </w:r>
    </w:p>
    <w:sectPr w:rsidR="003C2DF8" w:rsidRPr="0074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C"/>
    <w:rsid w:val="00360E4A"/>
    <w:rsid w:val="003C2DF8"/>
    <w:rsid w:val="004818F6"/>
    <w:rsid w:val="00617A78"/>
    <w:rsid w:val="007466DC"/>
    <w:rsid w:val="007A3C6D"/>
    <w:rsid w:val="00DA4E7B"/>
    <w:rsid w:val="00E5063B"/>
    <w:rsid w:val="00EA50F5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7</cp:revision>
  <dcterms:created xsi:type="dcterms:W3CDTF">2016-11-09T11:06:00Z</dcterms:created>
  <dcterms:modified xsi:type="dcterms:W3CDTF">2016-11-09T11:48:00Z</dcterms:modified>
</cp:coreProperties>
</file>